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46A81CFF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544FC9">
        <w:rPr>
          <w:rFonts w:ascii="Trebuchet MS" w:eastAsia="Times New Roman" w:hAnsi="Trebuchet MS" w:cs="Arial"/>
          <w:sz w:val="22"/>
          <w:szCs w:val="22"/>
        </w:rPr>
        <w:t>January 12, 2017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5C8856C1" w14:textId="6B33F295" w:rsidR="0024537E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9B6020">
        <w:rPr>
          <w:rFonts w:ascii="Trebuchet MS" w:eastAsia="Times New Roman" w:hAnsi="Trebuchet MS" w:cs="Arial"/>
          <w:sz w:val="22"/>
          <w:szCs w:val="22"/>
        </w:rPr>
        <w:t>Revision of Sections 630 and 713, Retroreflective Sheeting</w:t>
      </w:r>
    </w:p>
    <w:p w14:paraId="498F0AF7" w14:textId="5ED63D23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</w:t>
      </w:r>
      <w:r w:rsidR="00DE4B68">
        <w:rPr>
          <w:color w:val="auto"/>
          <w:sz w:val="22"/>
          <w:szCs w:val="22"/>
        </w:rPr>
        <w:t xml:space="preserve">new </w:t>
      </w:r>
      <w:r w:rsidR="00F4270C">
        <w:rPr>
          <w:color w:val="auto"/>
          <w:sz w:val="22"/>
          <w:szCs w:val="22"/>
        </w:rPr>
        <w:t xml:space="preserve">standard special provision, </w:t>
      </w:r>
      <w:r w:rsidR="009B6020" w:rsidRPr="009B6020">
        <w:rPr>
          <w:color w:val="auto"/>
          <w:sz w:val="22"/>
          <w:szCs w:val="22"/>
        </w:rPr>
        <w:t>Revision of Sections 630 and 713, Retroreflective Sheeting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DE4B68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9B6020">
        <w:rPr>
          <w:color w:val="auto"/>
          <w:sz w:val="22"/>
          <w:szCs w:val="22"/>
        </w:rPr>
        <w:t>2</w:t>
      </w:r>
      <w:r w:rsidR="00645762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>pages long</w:t>
      </w:r>
      <w:r w:rsidR="000A2120">
        <w:rPr>
          <w:color w:val="auto"/>
          <w:sz w:val="22"/>
          <w:szCs w:val="22"/>
        </w:rPr>
        <w:t xml:space="preserve"> and replaces a standard special provision having the title</w:t>
      </w:r>
      <w:r w:rsidR="009B6020">
        <w:rPr>
          <w:color w:val="auto"/>
          <w:sz w:val="22"/>
          <w:szCs w:val="22"/>
        </w:rPr>
        <w:t xml:space="preserve"> Revision of Section 630, Retroreflective Sign Sheeting,</w:t>
      </w:r>
      <w:r w:rsidR="000A2120">
        <w:rPr>
          <w:color w:val="auto"/>
          <w:sz w:val="22"/>
          <w:szCs w:val="22"/>
        </w:rPr>
        <w:t xml:space="preserve"> dated </w:t>
      </w:r>
      <w:r w:rsidR="009B6020" w:rsidRPr="009B6020">
        <w:rPr>
          <w:color w:val="auto"/>
          <w:sz w:val="22"/>
          <w:szCs w:val="22"/>
        </w:rPr>
        <w:t>May 8, 2014</w:t>
      </w:r>
      <w:r w:rsidRPr="002D6B33">
        <w:rPr>
          <w:color w:val="auto"/>
          <w:sz w:val="22"/>
          <w:szCs w:val="22"/>
        </w:rPr>
        <w:t xml:space="preserve">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0340452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 xml:space="preserve">Use this </w:t>
      </w:r>
      <w:r w:rsidR="00DE4B68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standard special provision </w:t>
      </w:r>
      <w:r w:rsidR="009B6020" w:rsidRPr="009B6020">
        <w:rPr>
          <w:color w:val="auto"/>
          <w:sz w:val="22"/>
          <w:szCs w:val="22"/>
        </w:rPr>
        <w:t>on all projects</w:t>
      </w:r>
      <w:r w:rsidR="002D6B33">
        <w:rPr>
          <w:color w:val="auto"/>
          <w:sz w:val="22"/>
          <w:szCs w:val="22"/>
        </w:rPr>
        <w:t xml:space="preserve">,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544FC9">
        <w:rPr>
          <w:color w:val="auto"/>
          <w:sz w:val="22"/>
          <w:szCs w:val="22"/>
        </w:rPr>
        <w:t>February 9</w:t>
      </w:r>
      <w:r w:rsidR="009B6020">
        <w:rPr>
          <w:color w:val="auto"/>
          <w:sz w:val="22"/>
          <w:szCs w:val="22"/>
        </w:rPr>
        <w:t>, 2017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440E5B1A" w14:textId="0E7322B9" w:rsidR="00BD60DA" w:rsidRDefault="00DE4B68" w:rsidP="00BD60D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This new standard special provision changes </w:t>
      </w:r>
      <w:bookmarkStart w:id="0" w:name="_GoBack"/>
      <w:bookmarkEnd w:id="0"/>
      <w:r w:rsidR="009B6020">
        <w:rPr>
          <w:rFonts w:ascii="Trebuchet MS" w:hAnsi="Trebuchet MS"/>
          <w:sz w:val="22"/>
          <w:szCs w:val="22"/>
        </w:rPr>
        <w:t xml:space="preserve">the sheeting requirements </w:t>
      </w:r>
      <w:r w:rsidR="0010536C">
        <w:rPr>
          <w:rFonts w:ascii="Trebuchet MS" w:hAnsi="Trebuchet MS"/>
          <w:sz w:val="22"/>
          <w:szCs w:val="22"/>
        </w:rPr>
        <w:t>for drums and tubular markers</w:t>
      </w:r>
      <w:r w:rsidR="009B6020">
        <w:rPr>
          <w:rFonts w:ascii="Trebuchet MS" w:hAnsi="Trebuchet MS"/>
          <w:sz w:val="22"/>
          <w:szCs w:val="22"/>
        </w:rPr>
        <w:t xml:space="preserve"> from Type IV orange high-intensity sheeting to fluorescent sheeting.  Additional requirements for the fluorescent sheeting have been added to Section 713.</w:t>
      </w:r>
    </w:p>
    <w:p w14:paraId="056DC4DE" w14:textId="77777777" w:rsidR="009B6020" w:rsidRDefault="009B6020" w:rsidP="00BD60DA">
      <w:pPr>
        <w:rPr>
          <w:rFonts w:ascii="Trebuchet MS" w:hAnsi="Trebuchet MS"/>
          <w:sz w:val="22"/>
          <w:szCs w:val="22"/>
        </w:rPr>
      </w:pPr>
    </w:p>
    <w:p w14:paraId="5F26272D" w14:textId="0E6106F6" w:rsidR="009B6020" w:rsidRPr="002D6B33" w:rsidRDefault="009B6020" w:rsidP="00BD60DA">
      <w:pPr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t>Please note f</w:t>
      </w:r>
      <w:r w:rsidRPr="009B6020">
        <w:rPr>
          <w:rFonts w:ascii="Trebuchet MS" w:hAnsi="Trebuchet MS"/>
          <w:noProof/>
          <w:sz w:val="22"/>
          <w:szCs w:val="22"/>
        </w:rPr>
        <w:t>or projects advertised prior to September 1, 2017,</w:t>
      </w:r>
      <w:r>
        <w:rPr>
          <w:rFonts w:ascii="Trebuchet MS" w:hAnsi="Trebuchet MS"/>
          <w:noProof/>
          <w:sz w:val="22"/>
          <w:szCs w:val="22"/>
        </w:rPr>
        <w:t xml:space="preserve"> both</w:t>
      </w:r>
      <w:r w:rsidRPr="009B6020">
        <w:rPr>
          <w:rFonts w:ascii="Trebuchet MS" w:hAnsi="Trebuchet MS"/>
          <w:noProof/>
          <w:sz w:val="22"/>
          <w:szCs w:val="22"/>
        </w:rPr>
        <w:t xml:space="preserve"> Type IV or Fluorescent sheeting will be permitted. For projects advertised on or after September 1, 2017, only Fluorescent sheeting will be permitted.</w:t>
      </w:r>
    </w:p>
    <w:p w14:paraId="6123A6AA" w14:textId="7C076DDB" w:rsidR="00EA3CE6" w:rsidRPr="002D6B33" w:rsidRDefault="00C71BE4" w:rsidP="00BD60DA">
      <w:pPr>
        <w:pStyle w:val="body"/>
        <w:rPr>
          <w:rFonts w:eastAsia="Times New Roman" w:cs="Arial"/>
          <w:color w:val="auto"/>
          <w:sz w:val="22"/>
          <w:szCs w:val="22"/>
        </w:rPr>
      </w:pPr>
      <w:r w:rsidRPr="002D6B33">
        <w:rPr>
          <w:rFonts w:eastAsia="Times New Roman" w:cs="Arial"/>
          <w:color w:val="auto"/>
          <w:sz w:val="22"/>
          <w:szCs w:val="22"/>
        </w:rPr>
        <w:t xml:space="preserve"> </w:t>
      </w:r>
    </w:p>
    <w:p w14:paraId="50B7B6D0" w14:textId="37551C1C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0A2120">
        <w:rPr>
          <w:rFonts w:ascii="Trebuchet MS" w:eastAsia="Times New Roman" w:hAnsi="Trebuchet MS" w:cs="Arial"/>
          <w:sz w:val="22"/>
          <w:szCs w:val="22"/>
        </w:rPr>
        <w:t>should replace the now obsolete standard s</w:t>
      </w:r>
      <w:r w:rsidR="00DE4B68">
        <w:rPr>
          <w:rFonts w:ascii="Trebuchet MS" w:eastAsia="Times New Roman" w:hAnsi="Trebuchet MS" w:cs="Arial"/>
          <w:sz w:val="22"/>
          <w:szCs w:val="22"/>
        </w:rPr>
        <w:t xml:space="preserve">pecial provision and add this new standard special provision to your file. </w:t>
      </w:r>
      <w:r w:rsidRPr="002D6B33">
        <w:rPr>
          <w:rFonts w:ascii="Trebuchet MS" w:eastAsia="Times New Roman" w:hAnsi="Trebuchet MS" w:cs="Arial"/>
          <w:sz w:val="22"/>
          <w:szCs w:val="22"/>
        </w:rPr>
        <w:t xml:space="preserve"> For your convenience, you can find this and others special provisions issued this date in one place at our Construction Specifications web page:</w:t>
      </w:r>
    </w:p>
    <w:p w14:paraId="64A9833C" w14:textId="1E9BD48F" w:rsidR="00FD5C37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2D6B33">
          <w:rPr>
            <w:rStyle w:val="Hyperlink"/>
            <w:rFonts w:ascii="Trebuchet MS" w:eastAsia="Times New Roman" w:hAnsi="Trebuchet MS" w:cs="Arial"/>
            <w:color w:val="auto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087B" w14:textId="77777777" w:rsidR="000705D6" w:rsidRDefault="000705D6" w:rsidP="00370CDA">
      <w:r>
        <w:separator/>
      </w:r>
    </w:p>
  </w:endnote>
  <w:endnote w:type="continuationSeparator" w:id="0">
    <w:p w14:paraId="05556D2C" w14:textId="77777777" w:rsidR="000705D6" w:rsidRDefault="000705D6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57FE1" w14:textId="77777777" w:rsidR="000705D6" w:rsidRDefault="000705D6" w:rsidP="00370CDA">
      <w:r>
        <w:separator/>
      </w:r>
    </w:p>
  </w:footnote>
  <w:footnote w:type="continuationSeparator" w:id="0">
    <w:p w14:paraId="54FE32A4" w14:textId="77777777" w:rsidR="000705D6" w:rsidRDefault="000705D6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705D6"/>
    <w:rsid w:val="000A14EB"/>
    <w:rsid w:val="000A2120"/>
    <w:rsid w:val="000A623E"/>
    <w:rsid w:val="000F7F23"/>
    <w:rsid w:val="0010536C"/>
    <w:rsid w:val="001D2E80"/>
    <w:rsid w:val="0024537E"/>
    <w:rsid w:val="0027361B"/>
    <w:rsid w:val="00283E9E"/>
    <w:rsid w:val="002C1694"/>
    <w:rsid w:val="002D6B33"/>
    <w:rsid w:val="00370CDA"/>
    <w:rsid w:val="0043210A"/>
    <w:rsid w:val="0045551E"/>
    <w:rsid w:val="004569A4"/>
    <w:rsid w:val="004646B6"/>
    <w:rsid w:val="004744F3"/>
    <w:rsid w:val="00475C8F"/>
    <w:rsid w:val="00483573"/>
    <w:rsid w:val="00532AC2"/>
    <w:rsid w:val="00533949"/>
    <w:rsid w:val="00544FC9"/>
    <w:rsid w:val="0058513F"/>
    <w:rsid w:val="00645762"/>
    <w:rsid w:val="00661D0F"/>
    <w:rsid w:val="00700833"/>
    <w:rsid w:val="00733213"/>
    <w:rsid w:val="00766707"/>
    <w:rsid w:val="007877FC"/>
    <w:rsid w:val="007918A9"/>
    <w:rsid w:val="007F483E"/>
    <w:rsid w:val="00800B86"/>
    <w:rsid w:val="0086424A"/>
    <w:rsid w:val="0093767A"/>
    <w:rsid w:val="0096175F"/>
    <w:rsid w:val="009B6020"/>
    <w:rsid w:val="009B7DA8"/>
    <w:rsid w:val="009C1544"/>
    <w:rsid w:val="009F63B1"/>
    <w:rsid w:val="00A25B26"/>
    <w:rsid w:val="00B101C3"/>
    <w:rsid w:val="00B340AC"/>
    <w:rsid w:val="00BB4F18"/>
    <w:rsid w:val="00BB5A81"/>
    <w:rsid w:val="00BD60DA"/>
    <w:rsid w:val="00BF0EE0"/>
    <w:rsid w:val="00C71BE4"/>
    <w:rsid w:val="00C925E7"/>
    <w:rsid w:val="00CA6E16"/>
    <w:rsid w:val="00D10630"/>
    <w:rsid w:val="00D33DC1"/>
    <w:rsid w:val="00D408A1"/>
    <w:rsid w:val="00D55128"/>
    <w:rsid w:val="00D773E4"/>
    <w:rsid w:val="00DC62AA"/>
    <w:rsid w:val="00DE4B68"/>
    <w:rsid w:val="00E34B89"/>
    <w:rsid w:val="00E77696"/>
    <w:rsid w:val="00EA3CE6"/>
    <w:rsid w:val="00EB6486"/>
    <w:rsid w:val="00EE405D"/>
    <w:rsid w:val="00EF64A8"/>
    <w:rsid w:val="00F4270C"/>
    <w:rsid w:val="00F741A4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6</cp:revision>
  <cp:lastPrinted>2014-02-24T20:31:00Z</cp:lastPrinted>
  <dcterms:created xsi:type="dcterms:W3CDTF">2016-12-12T21:46:00Z</dcterms:created>
  <dcterms:modified xsi:type="dcterms:W3CDTF">2017-01-12T20:30:00Z</dcterms:modified>
</cp:coreProperties>
</file>